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03ce58f4faa475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21182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KATARINE ZRINSKI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1.201.862,63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1.422.301,20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1.120.381,88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1.347.104,37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81.480,75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75.196,83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65.822,94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183.512,08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65.822,94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183.512,08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108.315,25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obrascu PR-RAS prikazani su ukupni prihodi i primici u iznosu od 1.422.301,20 EUR i ukupni rashodi i izdaci u iznosu od 1.530.616,45 EUR. Kada te iznose stavimo u odnos dobit ćemo manjak prihoda i primitaka u iznosu od 108.315,25 EUR no kada tu pribrojimo preneseni višak prihoda iz 2024. godine tada manjak prihoda i primitaka za pokriće u sljedećem razdoblju iznosi 53.242,71 EUR.  Člankom 233. novog Pravilnika o proračunskom računovodstvu i Računskom planu ukinuta je podskupina računa 193 Kontinuirani rashodi budućih razdoblja. Kontinuirani rashodi budućih razdoblja slijedom navedenog prenose se na odgovarajuće račune razreda 3 Rashodi poslovanja s danom 1. siječnja 2025.  S obzirom na novu metodologiju priznavanja prihoda, rashoda i evidentiranja aktivnih vremenskih razgraničenja u okviru podskupine 193 jasno je kako će se u financijskim izvještajima za 2025. godinu iskazivati metodološki manjak s obzirom da će kod kontinuiranih rashoda, na prijelazima iz jednog u drugo izvještajno razdoblje, postojati raskorak u trenucima priznavanja rashoda i prihoda.  Manjak  prihoda rezultat je ukidanja 19 Rashodi budućih razdoblja i nedospjela naplata prihoda (aktivna vremenska razgraničenja) te su plaće za prosinac 2025.g. knjižene kao rashod.</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1.201.862,63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1.422.301,20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bl>
    <w:p>
      <w:pPr>
        <w:spacing w:before="0" w:after="0"/>
      </w:pPr>
    </w:p>
    <w:p>
      <w:r>
        <w:t xml:space="preserve">Do povećanja prihoda u ovom razdoblju došlo je iz razloga jer su namijenjeni  financiranju rashoda za plaće zaposlenika, jubilarnih nagrada, darova, pomoći, doprinosa iz plaće, doprinosa na plaće, troškova prijevoza zaposlenika i troškova provedbe aktivnosti u sklopu CDŠ eksperimentalnog programa. Oni su veći u odnosu na 2024.g. iz razloga jer je došlo do povećanja broja zaposlenih u OŠ, povišice osnovice i koeficijenata zaposlenika te povećanja plaća radi CDŠ dodataka na plaću.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66.155,78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189.843,47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287,0</w:t>
            </w:r>
          </w:p>
        </w:tc>
      </w:tr>
    </w:tbl>
    <w:p>
      <w:pPr>
        <w:spacing w:before="0" w:after="0"/>
      </w:pPr>
    </w:p>
    <w:p>
      <w:r>
        <w:t xml:space="preserve">Primjetno je povećanje sredstava kapitalnih pomoći iz nenadležnog proračuna. To su sredstva koja je škola dobila u okviru provedbe eksperimentalnog programa CDŠ za uređenje škole i provedbu navedenog programa.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252,2</w:t>
            </w:r>
          </w:p>
        </w:tc>
      </w:tr>
    </w:tbl>
    <w:p>
      <w:pPr>
        <w:spacing w:before="0" w:after="0"/>
      </w:pPr>
    </w:p>
    <w:p>
      <w:r>
        <w:t xml:space="preserve">Prihodi od pruženih usluga znatno su veći u odnosu na prošlu godinu jer je škola imala više sati najma sportske dvorane lokalnim udrugama.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1914,2</w:t>
            </w:r>
          </w:p>
        </w:tc>
      </w:tr>
    </w:tbl>
    <w:p>
      <w:pPr>
        <w:spacing w:before="0" w:after="0"/>
      </w:pPr>
    </w:p>
    <w:p>
      <w:r>
        <w:t xml:space="preserve">Primjetno je povećanje sredstava kapitalnih pomoći iz nadležnog proračuna. To su sredstva koja je škola dobila u okviru povećanja razine sigurnosti u školama za postavljanje sustava videonadzora.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1.120.381,88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1.347.104,37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w:t>
            </w:r>
          </w:p>
        </w:tc>
      </w:tr>
    </w:tbl>
    <w:p>
      <w:pPr>
        <w:spacing w:before="0" w:after="0"/>
      </w:pPr>
    </w:p>
    <w:p>
      <w:r>
        <w:t xml:space="preserve">Većina rashoda po stavkama veća je u odnosu na prethodnu godinu iz razloga povećanja cijena materijala i usluga, osobito namirnica i energenata. Rashodi za zaposlene su veći u odnosu na 2024.g. iz razloga jer je došlo do povećanja broja zaposlenih u OŠ, povišice osnovice i koeficijenata zaposlenika te povećanja plaća radi CDŠ dodataka na plaću. Rashodi za materijal i energiju te rashodi za usluge također su značajno veći u odnosu na prethodnu godinu iz razloga jer je naša škola u okviru eksperimentalnog programa CDŠ  dobila značajna sredstva za provedbu raznih aktivnosti (B1, B2, operativni troškovi, Male darovnice).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831.112,41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1.058.225,50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w:t>
            </w:r>
          </w:p>
        </w:tc>
      </w:tr>
    </w:tbl>
    <w:p>
      <w:pPr>
        <w:spacing w:before="0" w:after="0"/>
      </w:pPr>
    </w:p>
    <w:p>
      <w:r>
        <w:t xml:space="preserve">Rashodi za zaposlene su veći u odnosu na 2024.g. iz razloga jer je došlo do povećanja broja zaposlenih u OŠ, povišice osnovice i koeficijenata zaposlenika te povećanja plaća radi CDŠ dodataka na plaću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w:t>
            </w:r>
          </w:p>
        </w:tc>
      </w:tr>
    </w:tbl>
    <w:p>
      <w:pPr>
        <w:spacing w:before="0" w:after="0"/>
      </w:pPr>
    </w:p>
    <w:p>
      <w:r>
        <w:t xml:space="preserve">Uvođenjem CDŠ eksperimentalnog programa u našu školu povećan je broj terenskih nastava i odlazaka na stručna usavršavanja zaposlenika.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222,3</w:t>
            </w:r>
          </w:p>
        </w:tc>
      </w:tr>
    </w:tbl>
    <w:p>
      <w:pPr>
        <w:spacing w:before="0" w:after="0"/>
      </w:pPr>
    </w:p>
    <w:p>
      <w:r>
        <w:t xml:space="preserve">U ovoj godini imali smo trošak objave natječaja u NN za izbor ravnatelja u iznosu 1.090,00 EUR od što je rezultiralo značajnim odstupanjem u odnosu na prethodno razdoblje.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515,7</w:t>
            </w:r>
          </w:p>
        </w:tc>
      </w:tr>
    </w:tbl>
    <w:p>
      <w:pPr>
        <w:spacing w:before="0" w:after="0"/>
      </w:pPr>
    </w:p>
    <w:p>
      <w:r>
        <w:t xml:space="preserve">19 djelatnika škole je ove godine pristupilo sistematskom pregledu, ukupan trošak pregleda 3.021,00 EUR</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287,2</w:t>
            </w:r>
          </w:p>
        </w:tc>
      </w:tr>
    </w:tbl>
    <w:p>
      <w:pPr>
        <w:spacing w:before="0" w:after="0"/>
      </w:pPr>
    </w:p>
    <w:p>
      <w:r>
        <w:t xml:space="preserve">HRT pristojba se prema okružnici MINF od 1.7. 2024. evidentira na vrsti troška 329591 ostale pristojbe i naknade.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16.742,61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14.934,04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89,2</w:t>
            </w:r>
          </w:p>
        </w:tc>
      </w:tr>
    </w:tbl>
    <w:p>
      <w:pPr>
        <w:spacing w:before="0" w:after="0"/>
      </w:pPr>
    </w:p>
    <w:p>
      <w:r>
        <w:t xml:space="preserve">Ovi rashodi odnose se na troškove nabavke radnih bilježnica, udžbenika i dodatnih obrazovnih materijala za učenike. U okviru eksperimentalnog programa CDŠ svi navedeni materijali su besplatni za učenike i financira iz MZO.</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88.498,29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6931,3</w:t>
            </w:r>
          </w:p>
        </w:tc>
      </w:tr>
    </w:tbl>
    <w:p>
      <w:pPr>
        <w:spacing w:before="0" w:after="0"/>
      </w:pPr>
    </w:p>
    <w:p>
      <w:r>
        <w:t xml:space="preserve">Kao novost sukladno  Pravilniku o izmjenama i dopunama Pravilnika o proračunskom računovodstvu i Računskom planu  na ovom računu provedena su i knjiženja Obračunatih pomoći iz inozemstva i od subjekata unutar općeg proračuna (plaće za rujan, naknada zbog nezapošljavanja OSI, potraživanja prema općini te prema MZO za financiranje CDŠ opreme).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65.822,94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183.512,08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278,8</w:t>
            </w:r>
          </w:p>
        </w:tc>
      </w:tr>
    </w:tbl>
    <w:p>
      <w:pPr>
        <w:spacing w:before="0" w:after="0"/>
      </w:pPr>
    </w:p>
    <w:p>
      <w:r>
        <w:t xml:space="preserve">Rashodi za opremanje  su značajno veći u odnosu na prethodnu godinu iz razloga jer je naša škola u okviru eksperimentalnog programa CDŠ dobila značajna sredstva za opremanje prostora škole u 2025.g..</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8.439,27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105.853,35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1254,3</w:t>
            </w:r>
          </w:p>
        </w:tc>
      </w:tr>
    </w:tbl>
    <w:p>
      <w:pPr>
        <w:spacing w:before="0" w:after="0"/>
      </w:pPr>
    </w:p>
    <w:p>
      <w:r>
        <w:t xml:space="preserve">Sredstvima koja smo dobili od MZO za prilagodbu prostora u okviru CDŠ kompletno su obnovljeni i uređeni kabineti škole.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w:t>
            </w:r>
          </w:p>
        </w:tc>
      </w:tr>
    </w:tbl>
    <w:p>
      <w:pPr>
        <w:spacing w:before="0" w:after="0"/>
      </w:pPr>
    </w:p>
    <w:p>
      <w:r>
        <w:t xml:space="preserve">Ove godine su učenicima dati na korištenje trajni udzbenici nabavljeni prethodnih godina te je nabavka novih bila minimalna.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65.822,94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183.512,08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278,8</w:t>
            </w:r>
          </w:p>
        </w:tc>
      </w:tr>
    </w:tbl>
    <w:p>
      <w:pPr>
        <w:spacing w:before="0" w:after="0"/>
      </w:pPr>
    </w:p>
    <w:p>
      <w:r>
        <w:t xml:space="preserve">Sredstva koja smo dobili za uređenje i opremanje škole u sklopu eksperimentalnog programa CDŠ evidentirana su na skupini 6.</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108.315,25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rezultat je ukidanja 19 Rashodi budućih razdoblja i nedospjela naplata prihoda (aktivna vremenska razgraničenja) te su plaće za prpsinac knjižene kao rashod.</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88.498,29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6931,3</w:t>
            </w:r>
          </w:p>
        </w:tc>
      </w:tr>
    </w:tbl>
    <w:p>
      <w:pPr>
        <w:spacing w:before="0" w:after="0"/>
      </w:pPr>
    </w:p>
    <w:p>
      <w:r>
        <w:t xml:space="preserve">Kao novost sukladno  Pravilniku o izmjenama i dopunama Pravilnika o proračunskom računovodstvu i Računskom planu  na ovom računu provedena su i knjiženja Obračunatih pomoći iz inozemstva i od subjekata unutar općeg proračuna (plaće za rujan, naknada zbog nezapošljavanja OSI, potraživanja prema općini te prema MZO za financiranje CDŠ opreme).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53.242,71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rezultat je ukidanja 19 Rashodi budućih razdoblja i nedospjela naplata prihoda (aktivna vremenska razgraničenja) te su plaće za prosinac knjižene kao rashod.</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56.166,94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 danom 30.9.2025. školi je ukinut žiroračun i prešla je na sustav potpune riznice, a sredstva sa žiroračuna škole prebačena su na račun osnivača Karlovačke županije.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34.554,85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115.863,73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335,3</w:t>
            </w:r>
          </w:p>
        </w:tc>
      </w:tr>
    </w:tbl>
    <w:p>
      <w:pPr>
        <w:spacing w:before="0" w:after="0"/>
      </w:pPr>
    </w:p>
    <w:p>
      <w:r>
        <w:t xml:space="preserve">Ulaganja u opremanje su značajno veća u odnosu na prethodnu godinu iz razloga jer je naša škola u okviru eksperimentalnog programa CDŠ dobila značajna sredstva za opremanje prostora škole.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51.903,37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118.673,11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228,6</w:t>
            </w:r>
          </w:p>
        </w:tc>
      </w:tr>
    </w:tbl>
    <w:p>
      <w:pPr>
        <w:spacing w:before="0" w:after="0"/>
      </w:pPr>
    </w:p>
    <w:p>
      <w:r>
        <w:t xml:space="preserve">Sredstvima koja smo dobili od MZO za prilagodbu prostora u okviru CDŠ kompletno su obnovljeni i uređeni kabineti škole.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125.367,16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9818,9</w:t>
            </w:r>
          </w:p>
        </w:tc>
      </w:tr>
    </w:tbl>
    <w:p>
      <w:pPr>
        <w:spacing w:before="0" w:after="0"/>
      </w:pPr>
    </w:p>
    <w:p>
      <w:r>
        <w:t xml:space="preserve">Kao novost sukladno Pravilniku o izmjenama i dopunama Pravilnika o proračunskom računovodstvu i Računskom planu na ovom računu provedena su  knjiženja Potraživanja za prihode poslovanja (plaće za prosinac, naknada zbog nezapošljavanja OSI, potraživanja prema općini te prema MZO za financiranje prehrane). Također na računu 167 Potraživanja proračunskih korisnika za sredstva uplaćena u nadležni proračun knjižena su potraživanja budući da je školi ukinut žiroračun i uspostavljena je potpuna riznica.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68.943,49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Podskupina 193 je ukinuta s danom 1.siječnja 2025. i više se ne koristiti za evidentiranje kontinuiranih rashoda u 2025. i nadalje.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w:t>
            </w:r>
          </w:p>
        </w:tc>
      </w:tr>
    </w:tbl>
    <w:p>
      <w:pPr>
        <w:spacing w:before="0" w:after="0"/>
      </w:pPr>
    </w:p>
    <w:p>
      <w:r>
        <w:t xml:space="preserve">Novim Pravilnikom o proračunskom računovodstu u računskom planu je brisan konto 23958 te su uvedena nova konta 27611 i 27612. Na dan 1.1.2025.g. temeljnicom je stanje s konta 23958 preknjiženo na ova dva nova konta.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55.072,53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-53.242,71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bl>
    <w:p>
      <w:pPr>
        <w:spacing w:before="0" w:after="0"/>
      </w:pPr>
    </w:p>
    <w:p>
      <w:r>
        <w:t xml:space="preserve">Manjak  prihoda rezultat je ukidanja 19 Rashodi budućih razdoblja i nedospjela naplata prihoda (aktivna vremenska razgraničenja) te su plaće za prosinac knjižene kao rashod.</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27.272,82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6362,9</w:t>
            </w:r>
          </w:p>
        </w:tc>
      </w:tr>
    </w:tbl>
    <w:p>
      <w:pPr>
        <w:spacing w:before="0" w:after="0"/>
      </w:pPr>
    </w:p>
    <w:p>
      <w:r>
        <w:t xml:space="preserve">Sredstva koja smo dobili za uređenje i opremanje škole u sklopu eksperimentalnog programa CDŠ evidentirana su na skupini 6.</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88.498,29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6931,3</w:t>
            </w:r>
          </w:p>
        </w:tc>
      </w:tr>
    </w:tbl>
    <w:p>
      <w:pPr>
        <w:spacing w:before="0" w:after="0"/>
      </w:pPr>
    </w:p>
    <w:p>
      <w:r>
        <w:t xml:space="preserve">Kao novost sukladno  Pravilniku o izmjenama i dopunama Pravilnika o proračunskom računovodstvu i Računskom planu  na ovom računu provedena su i knjiženja Obračunatih pomoći iz inozemstva i od subjekata unutar općeg proračuna (plaće za prosinac, naknada zbog nezapošljavanja OSI, potraživanja prema općini te prema MZO za financiranje CDŠ opreme).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125.367,16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9818,9</w:t>
            </w:r>
          </w:p>
        </w:tc>
      </w:tr>
    </w:tbl>
    <w:p>
      <w:pPr>
        <w:spacing w:before="0" w:after="0"/>
      </w:pPr>
    </w:p>
    <w:p>
      <w:r>
        <w:t xml:space="preserve">Potraživanja se odnose na potraživanja prema MZO i općini za financiranje plaća za prosinac i troškova namirnica za školsku kuhinju za prosinac.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w:t>
            </w:r>
          </w:p>
        </w:tc>
      </w:tr>
    </w:tbl>
    <w:p>
      <w:pPr>
        <w:spacing w:before="0" w:after="0"/>
      </w:pPr>
    </w:p>
    <w:p>
      <w:r>
        <w:t xml:space="preserve">Novim Pravilnikom o proračunskom računovodstu u računskom planu je brisan konto 23958 te su uvedena nova konta 27611 i 27612. Na dan 1.1.2025.g. temeljnicom je stanje s konta 23958 preknjiženo dio na konto 27611, dio na 26712.</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w:t>
            </w:r>
          </w:p>
        </w:tc>
      </w:tr>
    </w:tbl>
    <w:p>
      <w:pPr>
        <w:spacing w:before="0" w:after="0"/>
      </w:pPr>
    </w:p>
    <w:p>
      <w:r>
        <w:t xml:space="preserve">Novim Pravilnikom o proračunskom računovodstu u računskom planu je brisan konto 23958 te su uvedena nova konta 27611 i 27612. Na dan 1.1.2025.g. temeljnicom je stanje s konta 23958 preknjiženo dio na konto 27611, dio na 26712.</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financijske imovine (šifre P009 do P015)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Proveden je otpis potraživanja u iznosu od 80,00 EUR iz razloga kašnjenja u naplati. Za spomenuto potraživanje nije bilo isplativo pokretati postupak prisline naplate zbog neisplativosti tj. većih troškova ovrhe u odnosu na visinu potraživanja.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Ove obveze odnose se na HZZO refundacije bolovanja iz 2025.g. te na dio računa za namirnice za školsku kuhinju iz prosinca koji su imali dospijece u prosincu, a nisu podmireni iz razloga jer MZO nije tijekom prosinca uplatilo sredstva za prehranu standard. </w:t>
      </w:r>
    </w:p>
    <w:p/>
    <w:p>
      <w:pPr>
        <w:jc w:val="center"/>
        <w:pStyle w:val="Normal"/>
        <w:spacing w:line="240" w:lineRule="auto"/>
        <w:keepNext/>
      </w:pPr>
      <w:r>
        <w:rPr>
          <w:sz w:val="28"/>
          <w:rFonts w:ascii="Times New Roman" w:hAnsi="Times New Roman"/>
        </w:rPr>
        <w:t xml:space="preserve">Bilješka 35.</w:t>
      </w:r>
    </w:p>
    <w:p>
      <w:pPr>
        <w:jc w:val="both"/>
        <w:pStyle w:val="Normal"/>
        <w:spacing w:line="240" w:lineRule="auto"/>
      </w:pPr>
      <w:r>
        <w:rPr>
          <w:b/>
          <w:sz w:val="24"/>
          <w:rFonts w:ascii="Times New Roman" w:hAnsi="Times New Roman"/>
        </w:rPr>
        <w:t xml:space="preserve">EU izvještaj</w:t>
      </w:r>
    </w:p>
    <w:p>
      <w:r>
        <w:t xml:space="preserve">EU izvještaj odnosi se na ostvarene prihode i rashode nastale u 2025.g. U OŠ KATARINE ZRINSKI aktivnost Pomoćnici u nastavi se odnosi na EU projekt i troškovi za zaposlenu asistenticu u nastavi sufinanciraju se iz EU sredstava i nacionalnog sufinanciranja.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c4ea1abf1cb4f5d" /></Relationships>
</file>