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46d0c6d24477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21182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KATARINE ZRINSKI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556.357,47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655.313,81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554.836,83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705.468,73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50.154,92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60.556,91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5.595,42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60.556,91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4.074,78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110.711,83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2717,0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šifri X678 prikazani su ukupni prihodi i primici u iznosu od 655.313,81 EUR, a na šifri Y345 ukupni rashodi i izdaci u iznosu od 766.025,64 EUR.
Kada te iznose stavimo u odnos dobit ćemo manjak prihoda u iznosu od 110.711,83 EUR (šifra Y005) no kada tu pribrojimo preneseni višak prihoda iz 2024. godine u iznosu od 55.072,53 EUR tada manjak prihoda i primitaka za pokriće u sljedećem razdoblju (šifra Y006) iznosi 55.639,30 EUR.
Člankom 233. novog Pravilnika o proračunskom računovodstvu i Računskom planu ukinuta je podskupina računa 193 Kontinuirani rashodi budućih razdoblja. Kontinuirani rashodi budućih razdoblja slijedom navedenog prenose se na odgovarajuće račune razreda 3 Rashodi poslovanja s danom 1. siječnja 2025. 
S obzirom na novu metodologiju priznavanja prihoda, rashoda i evidentiranja aktivnih vremenskih razgraničenja u okviru podskupine 193 jasno je kako će se u financijskim izvještajima za 2025. godinu iskazivati metodološki manjak s obzirom da će kod kontinuiranih rashoda, na prijelazima iz jednog u drugo izvještajno razdoblje, postojati raskorak u trenucima priznavanja rashoda i prihoda.
Manjak  prihoda rezultat je ukidanja 19 Rashodi budućih razdoblja i nedospjela naplata prihoda (aktivna vremenska razgraničenja) te su plaće za lipanj knjižene kao rashod.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556.357,47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655.313,81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ovom razdoblju došlo je iz razloga jer su namijenjeni  financiranju rashoda za plaće zaposlenika, jubilarnih nagrada, darova, pomoći, doprinosa iz plaće, doprinosa na plaće, troškova prijevoza zaposlenika i troškova provedbe aktivnosti u sklopu CDŠ eksperimentalnog programa. Oni su veći u odnosu na 2024.g. iz razloga jer je došlo do povećanja broja zaposlenih u OŠ, povišice osnovice i koeficijenata zaposlenika te povećanja plaća radi CDŠ dodataka na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554.836,83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705.468,73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Većina rashoda po stavkama veća je u odnosu na prethodnu godinu iz razloga povećanja cijena materijala i usluga, osobito namirnica i energenata. Rashodi za zaposlene su veći u odnosu na 2024.g. iz razloga jer je došlo do povećanja broja zaposlenih u OŠ, povišice osnovice i koeficijenata zaposlenika te povećanja plaća radi CDŠ dodataka na plaću.
Rashodi za materijal i energiju te rashodi za usluge također su značajno veći u odnosu na prethodnu godinu iz razloga jer je naša škola u okviru eksperimentalnog programa CDŠ  dobila značajna sredstva za provedbu raznih aktivnosti (B1, B2, operativni troškovi, Male darovnice).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392.463,03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550.447,88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su veći u odnosu na 2024.g. iz razloga jer je došlo do povećanja broja zaposlenih u OŠ, povišice osnovice i koeficijenata zaposlenika te povećanja plaća radi CDŠ dodataka na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imali smo trošak objave natječaja u NN za izbor ravnatelja u iznosu 1.090,00 EUR od što je rezultiralo značajnim odstupanjem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19 djelatnika škole je ove godine pristupilo sistematskom pregledu, ukupan trošak 3.021,00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odstupanja dolazi iz razloga povećanja cijene premija.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HRT pristojba se prema okružnici MINF od 1.7. 2024. evidentira na vrsti troška 329591 ostale pristojbe i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broj transakcija uslijed ulaska škole u CDŠ eksperiment.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39.414,72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55.072,53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 prihoda rezultat je ukidanja 19 Rashodi budućih razdoblja i nedospjela naplata prihoda (aktivna vremenska razgraničenja) te su plaće za lipanj knjižene kao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88.866,39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Kao novost sukladno  Pravilniku o izmjenama i dopunama Pravilnika o proračunskom računovodstvu i Računskom planu  na ovom računu provedena su i knjiženja Obračunatih pomoći iz inozemstva i od subjekata unutar općeg proračuna (plaće za lipanj, naknada zbog nezapošljavanja OSI, potraživanja prema općini te prema MZO za financiranje CDŠ opreme).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60.556,91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opremanje  su značajno veći u odnosu na prethodnu godinu iz razloga jer je naša škola u okviru eksperimentalnog programa CDŠ dobila značajna sredstva za opremanje prostora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60.556,91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koja smo dobili za uređenje i opremanje škole u sklopu eksperimentalnog programa CDŠ evidentirana su na skupini 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110.711,83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 prihoda rezultat je ukidanja 19 Rashodi budućih razdoblja i nedospjela naplata prihoda (aktivna vremenska razgraničenja) te su plaće za lipanj knjižene kao rashod.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5.911,39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Ulazni račun broj 865-3000-1 od Profil KLETT-a zaprimljen je dana 28.3.2025. Račun se odnosi na isporuku dijela opreme u sklopu  CDŠ opremanja škole. Račun je 28.3.2025. poslan u nadležni upravni odjel na daljnje postupanje. Djelatnici nadležnog upravnog odjela poslali su zahtjev za plaćanje navedenog računa  u MZO. Do danas još uvijek nismo zaprimili obavijest MZO da je račun plaćen i da pristupimo zatvaranju obveze po navedenom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Međusobne obveze subjekata općeg proračuna odnose se na potraživanjima od HZZO-a za refundacije bolovanja.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f2dad6f047408b" /></Relationships>
</file>